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114" w:rsidRPr="00C57114" w:rsidRDefault="00C57114" w:rsidP="00C5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eastAsia="Times New Roman" w:hAnsi="Century Schoolbook" w:cstheme="minorHAnsi"/>
          <w:b/>
          <w:bCs/>
          <w:color w:val="A6A6A6" w:themeColor="background1" w:themeShade="A6"/>
          <w:sz w:val="40"/>
          <w:szCs w:val="40"/>
          <w:lang w:val="fr-FR"/>
        </w:rPr>
      </w:pPr>
      <w:r w:rsidRPr="00C57114">
        <w:rPr>
          <w:rFonts w:ascii="Century Schoolbook" w:eastAsia="Times New Roman" w:hAnsi="Century Schoolbook" w:cstheme="minorHAnsi"/>
          <w:b/>
          <w:bCs/>
          <w:color w:val="A6A6A6" w:themeColor="background1" w:themeShade="A6"/>
          <w:sz w:val="40"/>
          <w:szCs w:val="40"/>
          <w:lang w:val="fr-FR"/>
        </w:rPr>
        <w:t>Qu'est-ce que Dieu dit à l'Église pendant cette période de pandémie?</w:t>
      </w:r>
    </w:p>
    <w:p w:rsidR="00A847A5" w:rsidRPr="00C57114" w:rsidRDefault="00C57114" w:rsidP="00C57114">
      <w:pPr>
        <w:pStyle w:val="Corpo"/>
        <w:jc w:val="center"/>
        <w:rPr>
          <w:rFonts w:ascii="Century Schoolbook" w:hAnsi="Century Schoolbook" w:cs="Calibri"/>
          <w:b/>
          <w:bCs/>
          <w:i/>
          <w:color w:val="A6A6A6" w:themeColor="background1" w:themeShade="A6"/>
          <w:sz w:val="32"/>
          <w:szCs w:val="32"/>
          <w:lang w:val="fr-FR"/>
        </w:rPr>
      </w:pPr>
      <w:r w:rsidRPr="00DC4975">
        <w:rPr>
          <w:rFonts w:ascii="Century Schoolbook" w:hAnsi="Century Schoolbook" w:cs="Calibri"/>
          <w:b/>
          <w:bCs/>
          <w:i/>
          <w:color w:val="A6A6A6" w:themeColor="background1" w:themeShade="A6"/>
          <w:sz w:val="32"/>
          <w:szCs w:val="32"/>
          <w:lang w:val="fr-FR"/>
        </w:rPr>
        <w:t>UN</w:t>
      </w:r>
      <w:r w:rsidRPr="00C57114">
        <w:rPr>
          <w:rFonts w:ascii="Century Schoolbook" w:hAnsi="Century Schoolbook" w:cs="Calibri"/>
          <w:b/>
          <w:bCs/>
          <w:i/>
          <w:color w:val="A6A6A6" w:themeColor="background1" w:themeShade="A6"/>
          <w:sz w:val="32"/>
          <w:szCs w:val="32"/>
          <w:lang w:val="fr-FR"/>
        </w:rPr>
        <w:t>E</w:t>
      </w:r>
      <w:r w:rsidRPr="00DC4975">
        <w:rPr>
          <w:rFonts w:ascii="Century Schoolbook" w:hAnsi="Century Schoolbook" w:cs="Calibri"/>
          <w:b/>
          <w:bCs/>
          <w:i/>
          <w:color w:val="A6A6A6" w:themeColor="background1" w:themeShade="A6"/>
          <w:sz w:val="32"/>
          <w:szCs w:val="32"/>
          <w:lang w:val="fr-FR"/>
        </w:rPr>
        <w:t xml:space="preserve"> APPROCHE PASTORAL</w:t>
      </w:r>
      <w:r w:rsidRPr="00C57114">
        <w:rPr>
          <w:rFonts w:ascii="Century Schoolbook" w:hAnsi="Century Schoolbook" w:cs="Calibri"/>
          <w:b/>
          <w:bCs/>
          <w:i/>
          <w:color w:val="A6A6A6" w:themeColor="background1" w:themeShade="A6"/>
          <w:sz w:val="32"/>
          <w:szCs w:val="32"/>
          <w:lang w:val="fr-FR"/>
        </w:rPr>
        <w:t>E</w:t>
      </w:r>
    </w:p>
    <w:p w:rsidR="00C57114" w:rsidRDefault="00C57114" w:rsidP="00C57114">
      <w:pPr>
        <w:pStyle w:val="Corpo"/>
        <w:jc w:val="both"/>
        <w:rPr>
          <w:rFonts w:ascii="Verdana" w:hAnsi="Verdana" w:cs="Calibri"/>
          <w:i/>
          <w:iCs/>
          <w:color w:val="A6A6A6" w:themeColor="background1" w:themeShade="A6"/>
          <w:sz w:val="20"/>
          <w:szCs w:val="20"/>
          <w:lang w:val="fr-FR"/>
        </w:rPr>
      </w:pPr>
    </w:p>
    <w:p w:rsidR="00C57114" w:rsidRPr="00C57114" w:rsidRDefault="00C57114" w:rsidP="00C57114">
      <w:pPr>
        <w:pStyle w:val="Corpo"/>
        <w:jc w:val="both"/>
        <w:rPr>
          <w:rFonts w:ascii="Verdana" w:hAnsi="Verdana" w:cs="Calibri"/>
          <w:i/>
          <w:iCs/>
          <w:color w:val="A6A6A6" w:themeColor="background1" w:themeShade="A6"/>
          <w:sz w:val="20"/>
          <w:szCs w:val="20"/>
          <w:lang w:val="fr-FR"/>
        </w:rPr>
      </w:pPr>
      <w:r w:rsidRPr="00C57114">
        <w:rPr>
          <w:rFonts w:ascii="Verdana" w:hAnsi="Verdana" w:cs="Calibri"/>
          <w:i/>
          <w:iCs/>
          <w:color w:val="A6A6A6" w:themeColor="background1" w:themeShade="A6"/>
          <w:sz w:val="20"/>
          <w:szCs w:val="20"/>
          <w:lang w:val="fr-FR"/>
        </w:rPr>
        <w:t>Mes chers frères et sœurs,</w:t>
      </w:r>
    </w:p>
    <w:p w:rsidR="00C57114" w:rsidRPr="00C57114" w:rsidRDefault="00C57114" w:rsidP="00C57114">
      <w:pPr>
        <w:pStyle w:val="Corpo"/>
        <w:jc w:val="both"/>
        <w:rPr>
          <w:rFonts w:ascii="Verdana" w:hAnsi="Verdana" w:cs="Calibri"/>
          <w:i/>
          <w:iCs/>
          <w:color w:val="A6A6A6" w:themeColor="background1" w:themeShade="A6"/>
          <w:sz w:val="20"/>
          <w:szCs w:val="20"/>
          <w:lang w:val="fr-FR"/>
        </w:rPr>
      </w:pPr>
      <w:r w:rsidRPr="00C57114">
        <w:rPr>
          <w:rFonts w:ascii="Verdana" w:hAnsi="Verdana" w:cs="Calibri"/>
          <w:i/>
          <w:iCs/>
          <w:color w:val="A6A6A6" w:themeColor="background1" w:themeShade="A6"/>
          <w:sz w:val="20"/>
          <w:szCs w:val="20"/>
          <w:lang w:val="fr-FR"/>
        </w:rPr>
        <w:t>Grâce et paix à vous tous. J’ai vraiment le privilège de présenter quelques réflexions et observations sur le sujet.</w:t>
      </w:r>
    </w:p>
    <w:p w:rsidR="00C57114" w:rsidRPr="00C57114" w:rsidRDefault="00C57114" w:rsidP="00C57114">
      <w:pPr>
        <w:pStyle w:val="Corpo"/>
        <w:jc w:val="both"/>
        <w:rPr>
          <w:rFonts w:ascii="Verdana" w:hAnsi="Verdana" w:cs="Calibri"/>
          <w:i/>
          <w:iCs/>
          <w:color w:val="A6A6A6" w:themeColor="background1" w:themeShade="A6"/>
          <w:sz w:val="20"/>
          <w:szCs w:val="20"/>
          <w:lang w:val="fr-FR"/>
        </w:rPr>
      </w:pPr>
      <w:r w:rsidRPr="00C57114">
        <w:rPr>
          <w:rFonts w:ascii="Verdana" w:hAnsi="Verdana" w:cs="Calibri"/>
          <w:i/>
          <w:iCs/>
          <w:color w:val="A6A6A6" w:themeColor="background1" w:themeShade="A6"/>
          <w:sz w:val="20"/>
          <w:szCs w:val="20"/>
          <w:lang w:val="fr-FR"/>
        </w:rPr>
        <w:t>Alors que nous traversons cette crise de Covid-19, ma prière est que tout ira bien pour vous, votre famille et votre congrégation.</w:t>
      </w:r>
    </w:p>
    <w:p w:rsidR="00C57114" w:rsidRPr="00C57114" w:rsidRDefault="00C57114" w:rsidP="00C57114">
      <w:pPr>
        <w:pStyle w:val="Corpo"/>
        <w:jc w:val="both"/>
        <w:rPr>
          <w:rFonts w:ascii="Verdana" w:hAnsi="Verdana" w:cs="Calibri"/>
          <w:i/>
          <w:iCs/>
          <w:color w:val="A6A6A6" w:themeColor="background1" w:themeShade="A6"/>
          <w:sz w:val="20"/>
          <w:szCs w:val="20"/>
          <w:lang w:val="fr-FR"/>
        </w:rPr>
      </w:pPr>
      <w:r w:rsidRPr="00C57114">
        <w:rPr>
          <w:rFonts w:ascii="Verdana" w:hAnsi="Verdana" w:cs="Calibri"/>
          <w:i/>
          <w:iCs/>
          <w:color w:val="A6A6A6" w:themeColor="background1" w:themeShade="A6"/>
          <w:sz w:val="20"/>
          <w:szCs w:val="20"/>
          <w:lang w:val="fr-FR"/>
        </w:rPr>
        <w:t>Récemment, certains pasteurs ont demandé mon point de vue sur la pandémie actuelle. Certaines de ses questions me demandaient comment je vois les implications pour l’Église et quelles sont les applications pratiques pour les pasteurs locaux.</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both"/>
        <w:rPr>
          <w:rFonts w:ascii="Verdana" w:hAnsi="Verdana" w:cs="Calibri"/>
          <w:b/>
          <w:bCs/>
          <w:color w:val="A6A6A6" w:themeColor="background1" w:themeShade="A6"/>
          <w:sz w:val="20"/>
          <w:szCs w:val="20"/>
        </w:rPr>
      </w:pPr>
      <w:r w:rsidRPr="00C57114">
        <w:rPr>
          <w:rFonts w:ascii="Verdana" w:hAnsi="Verdana" w:cs="Calibri"/>
          <w:b/>
          <w:bCs/>
          <w:color w:val="A6A6A6" w:themeColor="background1" w:themeShade="A6"/>
          <w:sz w:val="20"/>
          <w:szCs w:val="20"/>
          <w:lang w:val="fr-FR"/>
        </w:rPr>
        <w:t>Cadre fondamental :</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Je ne crois pas que ce temps soit une punition de la part de Dieu. Si c’était le cas, cela aurait été la fin du monde. Cependant, rien ne se passe sans qu’Il le permette. Cela s’est déjà produit par le passé avec les pandémies précédentes. La croissance démographique, la pollution, le manque d’</w:t>
      </w:r>
      <w:proofErr w:type="spellStart"/>
      <w:r w:rsidRPr="00C57114">
        <w:rPr>
          <w:rFonts w:ascii="Verdana" w:hAnsi="Verdana" w:cs="Calibri"/>
          <w:color w:val="A6A6A6" w:themeColor="background1" w:themeShade="A6"/>
          <w:sz w:val="20"/>
          <w:szCs w:val="20"/>
          <w:lang w:val="da-DK"/>
        </w:rPr>
        <w:t>hygi</w:t>
      </w:r>
      <w:r w:rsidRPr="00C57114">
        <w:rPr>
          <w:rFonts w:ascii="Verdana" w:hAnsi="Verdana" w:cs="Calibri"/>
          <w:color w:val="A6A6A6" w:themeColor="background1" w:themeShade="A6"/>
          <w:sz w:val="20"/>
          <w:szCs w:val="20"/>
          <w:lang w:val="fr-FR"/>
        </w:rPr>
        <w:t>ène</w:t>
      </w:r>
      <w:proofErr w:type="spellEnd"/>
      <w:r w:rsidRPr="00C57114">
        <w:rPr>
          <w:rFonts w:ascii="Verdana" w:hAnsi="Verdana" w:cs="Calibri"/>
          <w:color w:val="A6A6A6" w:themeColor="background1" w:themeShade="A6"/>
          <w:sz w:val="20"/>
          <w:szCs w:val="20"/>
          <w:lang w:val="fr-FR"/>
        </w:rPr>
        <w:t xml:space="preserve"> et la pauvreté contribuent aux maladies et à un moment donné, quelque chose mute et provoque une épidémie.</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Je crois que Dieu utilise ce temps comme une réinitialisation de beaucoup de choses, en particulier dans l’église.</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Dieu a permis que l’attention des chrétiens se détourne de certaines des choses accumulées par l’église afin que l’Église revienne à une adoration véritable du Créateur.</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1"/>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Esaïe 17 : 7-8 “En ce jour-là, l’homme tournera les yeux vers Celui qui l’a fait; et ses yeux regarderont au Saint d’Israël". Nous aimons notre Créateur, mais souvent cet amour est basé sur ce que nous attendons et ce que nous avons façonné. Le vrai culte, c’est quand nous le voyons tel qu’il est et que nous nous abandonnons à lui. L’église a essayé de façonner Christ à son image, mais doit pourtant apprendre à le respecter et à l’aimer tel qu’il est. Pour cela, nous devons revenir à une adoration en Esprit et en Vérité (Jean 4:24).</w:t>
      </w:r>
    </w:p>
    <w:p w:rsidR="00C57114" w:rsidRPr="00C57114" w:rsidRDefault="00C57114" w:rsidP="00C57114">
      <w:pPr>
        <w:pStyle w:val="Corpo"/>
        <w:numPr>
          <w:ilvl w:val="1"/>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Alors que le monde s’arrête et se retrouve sans réponses, Dieu nous rappelle qu’Il est notre guérisseur, que ce soit instantané/miraculeux ou que ce soit par la science médicale. (Jérémie 33 : 6)</w:t>
      </w:r>
    </w:p>
    <w:p w:rsidR="00C57114" w:rsidRPr="00C57114" w:rsidRDefault="00C57114" w:rsidP="00C57114">
      <w:pPr>
        <w:pStyle w:val="Corpo"/>
        <w:numPr>
          <w:ilvl w:val="1"/>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Alors que les sources de nos revenus diminuent ou disparaissent, Dieu nous rappelle qu’Il est notre pourvoyeur et que nous devons lui faire confiance. (Genèse 22:14)</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Dieu utilise cet isolement pour reconstruire l’autel personnel et l’autel familial. Nous nous étions tellement concentrés sur l’église, l’autel public, que nous avons perdu la signification fondamentale de l’autel individuel et de l’autel familial.</w:t>
      </w:r>
    </w:p>
    <w:p w:rsidR="00C57114" w:rsidRPr="00C57114" w:rsidRDefault="00C57114" w:rsidP="00C57114">
      <w:pPr>
        <w:pStyle w:val="Corpo"/>
        <w:ind w:left="360"/>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4"/>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Cette réinitialisation jettera les bases qui mèneront à un renouveau spirituel mondial.</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Le problème de beaucoup d’églises, c’est que nous n’avons souvent pas emprunté cette voie auparavant. La remise en question actuelle nous donne le sens prioritaire de la direction à suivre. Le Seigneur a donné des instructions à Josué pour que le peuple suive l’Arche (3 : 4) « afin que vous sachiez le chemin par lequel vous devez marcher, car vous n’avez jamais parcouru ce chemin auparavant ». Nous devons donc chercher Sa direction et Ses conseils.</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Pour les hommes et les femmes de Dieu, cela nous place dans un dilemme, car nous devons accepter nos limites dans la connaissance et la fragilité de notre vie. Nous ne devons pas avoir peur de nous en remettre à la science et nous ne devons pas être prompts à tirer des conclusions ou croire à des complots (Esa</w:t>
      </w:r>
      <w:r w:rsidRPr="00C57114">
        <w:rPr>
          <w:rFonts w:ascii="Verdana" w:hAnsi="Verdana" w:cs="Calibri"/>
          <w:color w:val="A6A6A6" w:themeColor="background1" w:themeShade="A6"/>
          <w:sz w:val="20"/>
          <w:szCs w:val="20"/>
          <w:lang w:val="nl-NL"/>
        </w:rPr>
        <w:t>ï</w:t>
      </w:r>
      <w:r w:rsidRPr="00C57114">
        <w:rPr>
          <w:rFonts w:ascii="Verdana" w:hAnsi="Verdana" w:cs="Calibri"/>
          <w:color w:val="A6A6A6" w:themeColor="background1" w:themeShade="A6"/>
          <w:sz w:val="20"/>
          <w:szCs w:val="20"/>
          <w:lang w:val="fr-FR"/>
        </w:rPr>
        <w:t xml:space="preserve">e 8 : 11-12). Nous devons être des hommes et des femmes qui </w:t>
      </w:r>
      <w:r w:rsidRPr="00C57114">
        <w:rPr>
          <w:rFonts w:ascii="Verdana" w:hAnsi="Verdana" w:cs="Calibri"/>
          <w:color w:val="A6A6A6" w:themeColor="background1" w:themeShade="A6"/>
          <w:sz w:val="20"/>
          <w:szCs w:val="20"/>
          <w:lang w:val="fr-FR"/>
        </w:rPr>
        <w:lastRenderedPageBreak/>
        <w:t xml:space="preserve">apaisent les peurs des gens </w:t>
      </w:r>
      <w:r w:rsidRPr="00C57114">
        <w:rPr>
          <w:rFonts w:ascii="Verdana" w:hAnsi="Verdana" w:cs="Calibri"/>
          <w:color w:val="A6A6A6" w:themeColor="background1" w:themeShade="A6"/>
          <w:sz w:val="20"/>
          <w:szCs w:val="20"/>
          <w:lang w:val="nl-NL"/>
        </w:rPr>
        <w:t xml:space="preserve">et </w:t>
      </w:r>
      <w:r w:rsidRPr="00C57114">
        <w:rPr>
          <w:rFonts w:ascii="Verdana" w:hAnsi="Verdana" w:cs="Calibri"/>
          <w:color w:val="A6A6A6" w:themeColor="background1" w:themeShade="A6"/>
          <w:sz w:val="20"/>
          <w:szCs w:val="20"/>
          <w:lang w:val="fr-FR"/>
        </w:rPr>
        <w:t>leur apporter le témoignage d’un Dieu toujours souverain et au contrôle. Nous devons apporter réconfort, encouragement et espoir. Ceci est particulièrement important pour ceux qui souffrent de problèmes de santé mentale. La science est un don de Dieu et nous ne devons pas la craindre, mais l’utiliser au profit de notre peuple.</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Le Seigneur appelle à nouveau son Église à être sa voix (Esa</w:t>
      </w:r>
      <w:r w:rsidRPr="00C57114">
        <w:rPr>
          <w:rFonts w:ascii="Verdana" w:hAnsi="Verdana" w:cs="Calibri"/>
          <w:color w:val="A6A6A6" w:themeColor="background1" w:themeShade="A6"/>
          <w:sz w:val="20"/>
          <w:szCs w:val="20"/>
          <w:lang w:val="nl-NL"/>
        </w:rPr>
        <w:t>ï</w:t>
      </w:r>
      <w:r w:rsidRPr="00C57114">
        <w:rPr>
          <w:rFonts w:ascii="Verdana" w:hAnsi="Verdana" w:cs="Calibri"/>
          <w:color w:val="A6A6A6" w:themeColor="background1" w:themeShade="A6"/>
          <w:sz w:val="20"/>
          <w:szCs w:val="20"/>
          <w:lang w:val="fr-FR"/>
        </w:rPr>
        <w:t>e 40 : 1) à être la voix du calme, de la guérison, du réconfort, de l’espoir, de l’encouragement, du salut et de la délivrance. Ne favorisez pas la peur, mais proclamez plutôt la présence de Dieu.</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both"/>
        <w:rPr>
          <w:rFonts w:ascii="Verdana" w:hAnsi="Verdana" w:cs="Calibri"/>
          <w:b/>
          <w:bCs/>
          <w:color w:val="A6A6A6" w:themeColor="background1" w:themeShade="A6"/>
          <w:sz w:val="20"/>
          <w:szCs w:val="20"/>
        </w:rPr>
      </w:pPr>
      <w:r w:rsidRPr="00C57114">
        <w:rPr>
          <w:rFonts w:ascii="Verdana" w:hAnsi="Verdana" w:cs="Calibri"/>
          <w:b/>
          <w:bCs/>
          <w:color w:val="A6A6A6" w:themeColor="background1" w:themeShade="A6"/>
          <w:sz w:val="20"/>
          <w:szCs w:val="20"/>
          <w:lang w:val="fr-FR"/>
        </w:rPr>
        <w:t>Applications pratiques :</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Montrez aux gens que notre espérance est en Christ. Reconnaissez que leur inquiétude ou leur peur est légitime et normale dans des moments comme ceux-ci. Cependant, montrez comment nous pouvons les surmonter lorsque nous mettons notre confiance en Christ.</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Prêchez le Christ!</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Dans le désespoir - prê</w:t>
      </w:r>
      <w:r w:rsidRPr="00C57114">
        <w:rPr>
          <w:rFonts w:ascii="Verdana" w:hAnsi="Verdana" w:cs="Calibri"/>
          <w:b/>
          <w:bCs/>
          <w:i/>
          <w:iCs/>
          <w:color w:val="A6A6A6" w:themeColor="background1" w:themeShade="A6"/>
          <w:sz w:val="20"/>
          <w:szCs w:val="20"/>
          <w:lang w:val="de-DE"/>
        </w:rPr>
        <w:t>cher l</w:t>
      </w:r>
      <w:r w:rsidRPr="00C57114">
        <w:rPr>
          <w:rFonts w:ascii="Verdana" w:hAnsi="Verdana" w:cs="Calibri"/>
          <w:b/>
          <w:bCs/>
          <w:i/>
          <w:iCs/>
          <w:color w:val="A6A6A6" w:themeColor="background1" w:themeShade="A6"/>
          <w:sz w:val="20"/>
          <w:szCs w:val="20"/>
          <w:lang w:val="fr-FR"/>
        </w:rPr>
        <w:t>’espoir</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Dans la peur - prêchez le courage</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Dans la maladie - prêchez la guérison</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Dans le deuil - prêchez le confort</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Face aux dangers - prêcher la protection</w:t>
      </w:r>
    </w:p>
    <w:p w:rsidR="00C57114" w:rsidRPr="00C57114" w:rsidRDefault="00C57114" w:rsidP="00C57114">
      <w:pPr>
        <w:pStyle w:val="Corpo"/>
        <w:jc w:val="center"/>
        <w:rPr>
          <w:rFonts w:ascii="Verdana" w:hAnsi="Verdana" w:cs="Calibri"/>
          <w:b/>
          <w:bCs/>
          <w:i/>
          <w:iCs/>
          <w:color w:val="A6A6A6" w:themeColor="background1" w:themeShade="A6"/>
          <w:sz w:val="20"/>
          <w:szCs w:val="20"/>
          <w:lang w:val="fr-FR"/>
        </w:rPr>
      </w:pPr>
      <w:r w:rsidRPr="00C57114">
        <w:rPr>
          <w:rFonts w:ascii="Verdana" w:hAnsi="Verdana" w:cs="Calibri"/>
          <w:b/>
          <w:bCs/>
          <w:i/>
          <w:iCs/>
          <w:color w:val="A6A6A6" w:themeColor="background1" w:themeShade="A6"/>
          <w:sz w:val="20"/>
          <w:szCs w:val="20"/>
          <w:lang w:val="fr-FR"/>
        </w:rPr>
        <w:t>Dans la panique et l’anxiété — prêchez le calme et la paix</w:t>
      </w:r>
    </w:p>
    <w:p w:rsidR="00C57114" w:rsidRPr="00C57114" w:rsidRDefault="00C57114" w:rsidP="00C57114">
      <w:pPr>
        <w:pStyle w:val="Corpo"/>
        <w:jc w:val="center"/>
        <w:rPr>
          <w:rFonts w:ascii="Verdana" w:hAnsi="Verdana" w:cs="Calibri"/>
          <w:b/>
          <w:bCs/>
          <w:i/>
          <w:iCs/>
          <w:color w:val="A6A6A6" w:themeColor="background1" w:themeShade="A6"/>
          <w:sz w:val="20"/>
          <w:szCs w:val="20"/>
        </w:rPr>
      </w:pPr>
      <w:r w:rsidRPr="00C57114">
        <w:rPr>
          <w:rFonts w:ascii="Verdana" w:hAnsi="Verdana" w:cs="Calibri"/>
          <w:b/>
          <w:bCs/>
          <w:i/>
          <w:iCs/>
          <w:color w:val="A6A6A6" w:themeColor="background1" w:themeShade="A6"/>
          <w:sz w:val="20"/>
          <w:szCs w:val="20"/>
        </w:rPr>
        <w:t>Prê</w:t>
      </w:r>
      <w:r w:rsidRPr="00C57114">
        <w:rPr>
          <w:rFonts w:ascii="Verdana" w:hAnsi="Verdana" w:cs="Calibri"/>
          <w:b/>
          <w:bCs/>
          <w:i/>
          <w:iCs/>
          <w:color w:val="A6A6A6" w:themeColor="background1" w:themeShade="A6"/>
          <w:sz w:val="20"/>
          <w:szCs w:val="20"/>
          <w:lang w:val="fr-FR"/>
        </w:rPr>
        <w:t>chez Jé</w:t>
      </w:r>
      <w:bookmarkStart w:id="0" w:name="_GoBack"/>
      <w:bookmarkEnd w:id="0"/>
      <w:r w:rsidRPr="00C57114">
        <w:rPr>
          <w:rFonts w:ascii="Verdana" w:hAnsi="Verdana" w:cs="Calibri"/>
          <w:b/>
          <w:bCs/>
          <w:i/>
          <w:iCs/>
          <w:color w:val="A6A6A6" w:themeColor="background1" w:themeShade="A6"/>
          <w:sz w:val="20"/>
          <w:szCs w:val="20"/>
          <w:lang w:val="en-US"/>
        </w:rPr>
        <w:t>sus!</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3"/>
        </w:numPr>
        <w:jc w:val="both"/>
        <w:rPr>
          <w:rFonts w:ascii="Verdana" w:hAnsi="Verdana" w:cs="Calibri"/>
          <w:color w:val="A6A6A6" w:themeColor="background1" w:themeShade="A6"/>
          <w:sz w:val="20"/>
          <w:szCs w:val="20"/>
        </w:rPr>
      </w:pPr>
      <w:r w:rsidRPr="00C57114">
        <w:rPr>
          <w:rFonts w:ascii="Verdana" w:hAnsi="Verdana" w:cs="Calibri"/>
          <w:color w:val="A6A6A6" w:themeColor="background1" w:themeShade="A6"/>
          <w:sz w:val="20"/>
          <w:szCs w:val="20"/>
          <w:lang w:val="fr-FR"/>
        </w:rPr>
        <w:t xml:space="preserve">N’ayez pas peur d’admettre que nous n’avons pas toutes les réponses, mais nous avons confiance en Dieu, car Lui a toutes les réponses. </w:t>
      </w:r>
      <w:r w:rsidRPr="00C57114">
        <w:rPr>
          <w:rFonts w:ascii="Verdana" w:hAnsi="Verdana" w:cs="Calibri"/>
          <w:color w:val="A6A6A6" w:themeColor="background1" w:themeShade="A6"/>
          <w:sz w:val="20"/>
          <w:szCs w:val="20"/>
        </w:rPr>
        <w:t>(Psaume</w:t>
      </w:r>
      <w:r w:rsidRPr="00C57114">
        <w:rPr>
          <w:rFonts w:ascii="Verdana" w:hAnsi="Verdana" w:cs="Calibri"/>
          <w:color w:val="A6A6A6" w:themeColor="background1" w:themeShade="A6"/>
          <w:sz w:val="20"/>
          <w:szCs w:val="20"/>
          <w:lang w:val="fr-FR"/>
        </w:rPr>
        <w:t> </w:t>
      </w:r>
      <w:r w:rsidRPr="00C57114">
        <w:rPr>
          <w:rFonts w:ascii="Verdana" w:hAnsi="Verdana" w:cs="Calibri"/>
          <w:color w:val="A6A6A6" w:themeColor="background1" w:themeShade="A6"/>
          <w:sz w:val="20"/>
          <w:szCs w:val="20"/>
        </w:rPr>
        <w:t>95</w:t>
      </w:r>
      <w:r w:rsidRPr="00C57114">
        <w:rPr>
          <w:rFonts w:ascii="Verdana" w:hAnsi="Verdana" w:cs="Calibri"/>
          <w:color w:val="A6A6A6" w:themeColor="background1" w:themeShade="A6"/>
          <w:sz w:val="20"/>
          <w:szCs w:val="20"/>
          <w:lang w:val="fr-FR"/>
        </w:rPr>
        <w:t> :</w:t>
      </w:r>
      <w:r w:rsidRPr="00C57114">
        <w:rPr>
          <w:rFonts w:ascii="Verdana" w:hAnsi="Verdana" w:cs="Calibri"/>
          <w:color w:val="A6A6A6" w:themeColor="background1" w:themeShade="A6"/>
          <w:sz w:val="20"/>
          <w:szCs w:val="20"/>
        </w:rPr>
        <w:t xml:space="preserve"> 6-7)</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Reconnaissez que nous sommes dans une saison de combat, mais comme nous avons déjà surmonté bien des choses, Dieu nous aidera à nouveau. Encouragez les gens à énumérer les victoires passées dans leur vie.</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rPr>
      </w:pPr>
      <w:r w:rsidRPr="00C57114">
        <w:rPr>
          <w:rFonts w:ascii="Verdana" w:hAnsi="Verdana" w:cs="Calibri"/>
          <w:color w:val="A6A6A6" w:themeColor="background1" w:themeShade="A6"/>
          <w:sz w:val="20"/>
          <w:szCs w:val="20"/>
          <w:lang w:val="fr-FR"/>
        </w:rPr>
        <w:t xml:space="preserve">Soyez concrets et suivez les suggestions pratiques pour la vie quotidienne dans le cadre des protocoles de santé, des protocoles gouvernementaux, etc. </w:t>
      </w:r>
      <w:r w:rsidRPr="00C57114">
        <w:rPr>
          <w:rFonts w:ascii="Verdana" w:hAnsi="Verdana" w:cs="Calibri"/>
          <w:color w:val="A6A6A6" w:themeColor="background1" w:themeShade="A6"/>
          <w:sz w:val="20"/>
          <w:szCs w:val="20"/>
          <w:lang w:val="it-IT"/>
        </w:rPr>
        <w:t>Assurez</w:t>
      </w:r>
      <w:r w:rsidRPr="00C57114">
        <w:rPr>
          <w:rFonts w:ascii="Verdana" w:hAnsi="Verdana" w:cs="Calibri"/>
          <w:color w:val="A6A6A6" w:themeColor="background1" w:themeShade="A6"/>
          <w:sz w:val="20"/>
          <w:szCs w:val="20"/>
          <w:lang w:val="fr-FR"/>
        </w:rPr>
        <w:t>-</w:t>
      </w:r>
      <w:r w:rsidRPr="00C57114">
        <w:rPr>
          <w:rFonts w:ascii="Verdana" w:hAnsi="Verdana" w:cs="Calibri"/>
          <w:color w:val="A6A6A6" w:themeColor="background1" w:themeShade="A6"/>
          <w:sz w:val="20"/>
          <w:szCs w:val="20"/>
          <w:lang w:val="it-IT"/>
        </w:rPr>
        <w:t>vous que les gens soient bien informés</w:t>
      </w:r>
      <w:r w:rsidRPr="00C57114">
        <w:rPr>
          <w:rFonts w:ascii="Verdana" w:hAnsi="Verdana" w:cs="Calibri"/>
          <w:color w:val="A6A6A6" w:themeColor="background1" w:themeShade="A6"/>
          <w:sz w:val="20"/>
          <w:szCs w:val="20"/>
        </w:rPr>
        <w:t>.</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rPr>
      </w:pPr>
      <w:r w:rsidRPr="00C57114">
        <w:rPr>
          <w:rFonts w:ascii="Verdana" w:hAnsi="Verdana" w:cs="Calibri"/>
          <w:color w:val="A6A6A6" w:themeColor="background1" w:themeShade="A6"/>
          <w:sz w:val="20"/>
          <w:szCs w:val="20"/>
          <w:lang w:val="fr-FR"/>
        </w:rPr>
        <w:t>Éloignez-les des théories du complot et des histoires qui attisent la peur et l’agitation. Dirigez-les vers la Parole de Dieu.</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rPr>
      </w:pPr>
      <w:r w:rsidRPr="00C57114">
        <w:rPr>
          <w:rFonts w:ascii="Verdana" w:hAnsi="Verdana" w:cs="Calibri"/>
          <w:color w:val="A6A6A6" w:themeColor="background1" w:themeShade="A6"/>
          <w:sz w:val="20"/>
          <w:szCs w:val="20"/>
          <w:lang w:val="fr-FR"/>
        </w:rPr>
        <w:t>Encourager vos communautés à faire partie de la solution, qu’il s’agisse de s’encourager les uns les autres, d’aider les personnes démunies avec les ressources et la nourriture, etc. Plus les gens s’engage</w:t>
      </w:r>
      <w:r w:rsidRPr="00C57114">
        <w:rPr>
          <w:rFonts w:ascii="Verdana" w:hAnsi="Verdana" w:cs="Calibri"/>
          <w:color w:val="A6A6A6" w:themeColor="background1" w:themeShade="A6"/>
          <w:sz w:val="20"/>
          <w:szCs w:val="20"/>
          <w:lang w:val="it-IT"/>
        </w:rPr>
        <w:t>ro</w:t>
      </w:r>
      <w:r w:rsidRPr="00C57114">
        <w:rPr>
          <w:rFonts w:ascii="Verdana" w:hAnsi="Verdana" w:cs="Calibri"/>
          <w:color w:val="A6A6A6" w:themeColor="background1" w:themeShade="A6"/>
          <w:sz w:val="20"/>
          <w:szCs w:val="20"/>
          <w:lang w:val="fr-FR"/>
        </w:rPr>
        <w:t>nt, moins ils se sentiront impuissants.</w:t>
      </w:r>
    </w:p>
    <w:p w:rsidR="00C57114" w:rsidRPr="00C57114" w:rsidRDefault="00C57114" w:rsidP="00C57114">
      <w:pPr>
        <w:pStyle w:val="Corpo"/>
        <w:jc w:val="both"/>
        <w:rPr>
          <w:rFonts w:ascii="Verdana" w:hAnsi="Verdana" w:cs="Calibri"/>
          <w:color w:val="A6A6A6" w:themeColor="background1" w:themeShade="A6"/>
          <w:sz w:val="20"/>
          <w:szCs w:val="20"/>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Essayez de nouvelles technologies et stratégies pour apporter l’Évangile à tous. C’est le moment d’essayer de nouvelles choses que vous pourrez utiliser plus tard dans l’église lorsque les choses reviendront à la normalité. Utilisez la technologie pour être en contact et pour communiquer avec les membres de vos églises.</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N’essayez pas d’être le pasteur ou le leader de tout le monde. Conduisez ceux que vous avez été appelés à conduire. Laissez les autres diriger leurs troupeaux. Ne vous laissez pas prendre par des controverses ou des critiques sur des traditions, des rituels, le baptême ou la sainte cène.</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numPr>
          <w:ilvl w:val="0"/>
          <w:numId w:val="2"/>
        </w:numPr>
        <w:jc w:val="both"/>
        <w:rPr>
          <w:rFonts w:ascii="Verdana" w:hAnsi="Verdana" w:cs="Calibri"/>
          <w:color w:val="A6A6A6" w:themeColor="background1" w:themeShade="A6"/>
          <w:sz w:val="20"/>
          <w:szCs w:val="20"/>
          <w:lang w:val="fr-FR"/>
        </w:rPr>
      </w:pPr>
      <w:r w:rsidRPr="00C57114">
        <w:rPr>
          <w:rFonts w:ascii="Verdana" w:hAnsi="Verdana" w:cs="Calibri"/>
          <w:color w:val="A6A6A6" w:themeColor="background1" w:themeShade="A6"/>
          <w:sz w:val="20"/>
          <w:szCs w:val="20"/>
          <w:lang w:val="fr-FR"/>
        </w:rPr>
        <w:t>Utilisez ce temps pour bâtir votre famille. Profitez de reconstruire des relations et de les favoriser pour l’avenir.</w:t>
      </w:r>
    </w:p>
    <w:p w:rsidR="00C57114" w:rsidRPr="00C57114" w:rsidRDefault="00C57114" w:rsidP="00C57114">
      <w:pPr>
        <w:pStyle w:val="Corpo"/>
        <w:jc w:val="both"/>
        <w:rPr>
          <w:rFonts w:ascii="Verdana" w:hAnsi="Verdana" w:cs="Calibri"/>
          <w:color w:val="A6A6A6" w:themeColor="background1" w:themeShade="A6"/>
          <w:sz w:val="20"/>
          <w:szCs w:val="20"/>
          <w:lang w:val="fr-FR"/>
        </w:rPr>
      </w:pPr>
    </w:p>
    <w:p w:rsidR="00C57114" w:rsidRPr="00C57114" w:rsidRDefault="00C57114" w:rsidP="00C57114">
      <w:pPr>
        <w:pStyle w:val="Corpo"/>
        <w:jc w:val="center"/>
        <w:rPr>
          <w:rFonts w:ascii="Verdana" w:hAnsi="Verdana" w:cs="Calibri"/>
          <w:b/>
          <w:bCs/>
          <w:color w:val="A6A6A6" w:themeColor="background1" w:themeShade="A6"/>
          <w:sz w:val="20"/>
          <w:szCs w:val="20"/>
          <w:lang w:val="fr-FR"/>
        </w:rPr>
      </w:pPr>
      <w:r w:rsidRPr="00C57114">
        <w:rPr>
          <w:rFonts w:ascii="Verdana" w:hAnsi="Verdana" w:cs="Calibri"/>
          <w:b/>
          <w:bCs/>
          <w:color w:val="A6A6A6" w:themeColor="background1" w:themeShade="A6"/>
          <w:sz w:val="20"/>
          <w:szCs w:val="20"/>
          <w:lang w:val="fr-FR"/>
        </w:rPr>
        <w:t>Tenez-vous fort, restez fidèles et ayez bon courage.</w:t>
      </w:r>
    </w:p>
    <w:p w:rsidR="00C57114" w:rsidRPr="00C57114" w:rsidRDefault="00C57114" w:rsidP="00C57114">
      <w:pPr>
        <w:pStyle w:val="Corpo"/>
        <w:jc w:val="center"/>
        <w:rPr>
          <w:rFonts w:ascii="Verdana" w:hAnsi="Verdana" w:cs="Calibri"/>
          <w:b/>
          <w:bCs/>
          <w:color w:val="A6A6A6" w:themeColor="background1" w:themeShade="A6"/>
          <w:sz w:val="20"/>
          <w:szCs w:val="20"/>
          <w:lang w:val="fr-FR"/>
        </w:rPr>
      </w:pPr>
    </w:p>
    <w:p w:rsidR="00C57114" w:rsidRPr="00C57114" w:rsidRDefault="00C57114" w:rsidP="00C57114">
      <w:pPr>
        <w:pStyle w:val="Corpo"/>
        <w:jc w:val="center"/>
        <w:rPr>
          <w:rFonts w:ascii="Verdana" w:hAnsi="Verdana" w:cs="Calibri"/>
          <w:b/>
          <w:bCs/>
          <w:color w:val="A6A6A6" w:themeColor="background1" w:themeShade="A6"/>
          <w:sz w:val="20"/>
          <w:szCs w:val="20"/>
          <w:lang w:val="fr-FR"/>
        </w:rPr>
      </w:pPr>
      <w:r w:rsidRPr="00C57114">
        <w:rPr>
          <w:rFonts w:ascii="Verdana" w:hAnsi="Verdana" w:cs="Calibri"/>
          <w:b/>
          <w:bCs/>
          <w:color w:val="A6A6A6" w:themeColor="background1" w:themeShade="A6"/>
          <w:sz w:val="20"/>
          <w:szCs w:val="20"/>
          <w:lang w:val="fr-FR"/>
        </w:rPr>
        <w:t>Nous réussirons ensemble.</w:t>
      </w:r>
    </w:p>
    <w:sectPr w:rsidR="00C57114" w:rsidRPr="00C57114"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8C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0979D5"/>
    <w:multiLevelType w:val="hybridMultilevel"/>
    <w:tmpl w:val="CD6EA1C0"/>
    <w:numStyleLink w:val="Numerato"/>
  </w:abstractNum>
  <w:abstractNum w:abstractNumId="2" w15:restartNumberingAfterBreak="0">
    <w:nsid w:val="2408085C"/>
    <w:multiLevelType w:val="hybridMultilevel"/>
    <w:tmpl w:val="CD6EA1C0"/>
    <w:styleLink w:val="Numerato"/>
    <w:lvl w:ilvl="0" w:tplc="D564F9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A99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EB75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DC7B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28E0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63A7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3A57B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CB4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62A1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startOverride w:val="2"/>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14"/>
    <w:rsid w:val="0050099F"/>
    <w:rsid w:val="00604D21"/>
    <w:rsid w:val="00C57114"/>
    <w:rsid w:val="00DC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C0FB73-1A30-0C4A-8020-7137074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114"/>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C5711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 w:eastAsia="es-ES"/>
      <w14:textOutline w14:w="0" w14:cap="flat" w14:cmpd="sng" w14:algn="ctr">
        <w14:noFill/>
        <w14:prstDash w14:val="solid"/>
        <w14:bevel/>
      </w14:textOutline>
    </w:rPr>
  </w:style>
  <w:style w:type="numbering" w:customStyle="1" w:styleId="Numerato">
    <w:name w:val="Numerato"/>
    <w:rsid w:val="00C5711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2020-06-15T10:34:00Z</dcterms:created>
  <dcterms:modified xsi:type="dcterms:W3CDTF">2020-06-26T10:23:00Z</dcterms:modified>
</cp:coreProperties>
</file>